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napToGrid w:val="0"/>
        <w:rPr>
          <w:rFonts w:ascii="黑体" w:hAnsi="黑体" w:eastAsia="黑体"/>
          <w:kern w:val="2"/>
          <w:sz w:val="32"/>
          <w:szCs w:val="20"/>
        </w:rPr>
      </w:pPr>
      <w:bookmarkStart w:id="0" w:name="_Hlk131154039"/>
    </w:p>
    <w:p>
      <w:pPr>
        <w:widowControl w:val="0"/>
        <w:snapToGrid w:val="0"/>
        <w:ind w:firstLine="720" w:firstLineChars="200"/>
        <w:jc w:val="center"/>
        <w:rPr>
          <w:rFonts w:hint="eastAsia" w:ascii="方正小标宋简体" w:eastAsia="方正小标宋简体"/>
          <w:kern w:val="44"/>
          <w:sz w:val="36"/>
          <w:szCs w:val="36"/>
        </w:rPr>
      </w:pPr>
      <w:bookmarkStart w:id="2" w:name="_GoBack"/>
      <w:r>
        <w:rPr>
          <w:rFonts w:hint="eastAsia" w:ascii="方正小标宋简体" w:eastAsia="方正小标宋简体"/>
          <w:kern w:val="44"/>
          <w:sz w:val="36"/>
          <w:szCs w:val="36"/>
        </w:rPr>
        <w:t>深圳保险学会2024年度研究课题选题方向</w:t>
      </w:r>
    </w:p>
    <w:bookmarkEnd w:id="2"/>
    <w:p>
      <w:pPr>
        <w:widowControl w:val="0"/>
        <w:snapToGrid w:val="0"/>
        <w:ind w:firstLine="720" w:firstLineChars="200"/>
        <w:jc w:val="center"/>
        <w:rPr>
          <w:rFonts w:hint="eastAsia" w:ascii="方正小标宋简体" w:eastAsia="方正小标宋简体"/>
          <w:kern w:val="44"/>
          <w:sz w:val="36"/>
          <w:szCs w:val="36"/>
        </w:rPr>
      </w:pPr>
    </w:p>
    <w:bookmarkEnd w:id="0"/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1.党建研究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1.1 高质量党建引领金融强国建设研究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1.2 深圳保险业党建工作创新发展研究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2．科技金融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bookmarkStart w:id="1" w:name="_Hlk164255899"/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bookmarkEnd w:id="1"/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2.1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保险业服务专精特新中小企业高质量发展研究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2.2 保险业服务深圳战略性新兴产业（科创产业）研究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2.3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科技创新（大数据、云计算、人工智能、区块链等）在保险业的应用研究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2.4 保险服务科技出海及支持国家重大战略研究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3．绿色金融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3.1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保险服务经济社会发展方式绿色转型研究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3.2 保险业服务深圳蓝色金融发展研究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3.3 环境污染强制责任保险产品与服务研究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3.4 新能源车险产品与服务研究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4.普惠金融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4.1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保险业服务国家“普惠金融”发展战略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4.2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普惠保险发展问题与对策研究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5.养老金融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5.1 个人养老金制度与模式研究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5</w:t>
      </w:r>
      <w:r>
        <w:rPr>
          <w:rFonts w:ascii="仿宋_GB2312" w:eastAsia="仿宋_GB2312" w:cs="仿宋"/>
          <w:color w:val="000000"/>
          <w:sz w:val="32"/>
          <w:szCs w:val="32"/>
        </w:rPr>
        <w:t>.</w:t>
      </w:r>
      <w:r>
        <w:rPr>
          <w:rFonts w:hint="eastAsia" w:ascii="仿宋_GB2312" w:eastAsia="仿宋_GB2312" w:cs="仿宋"/>
          <w:color w:val="000000"/>
          <w:sz w:val="32"/>
          <w:szCs w:val="32"/>
        </w:rPr>
        <w:t>2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长期护理保险与健康养老产业发展研究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5.3 跨境健康险产品与服务研究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5.4 跨境养老产品与服务研究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b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6.数字金融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重点研究内容：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6.1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保险机构数字化转型战略研究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6</w:t>
      </w:r>
      <w:r>
        <w:rPr>
          <w:rFonts w:ascii="仿宋_GB2312" w:eastAsia="仿宋_GB2312" w:cs="仿宋"/>
          <w:color w:val="000000"/>
          <w:sz w:val="32"/>
          <w:szCs w:val="32"/>
        </w:rPr>
        <w:t xml:space="preserve">.2 </w:t>
      </w:r>
      <w:r>
        <w:rPr>
          <w:rFonts w:hint="eastAsia" w:ascii="仿宋_GB2312" w:eastAsia="仿宋_GB2312" w:cs="仿宋"/>
          <w:color w:val="000000"/>
          <w:sz w:val="32"/>
          <w:szCs w:val="32"/>
        </w:rPr>
        <w:t>保险业数据交易的风险及规制问题研究</w:t>
      </w:r>
    </w:p>
    <w:p>
      <w:pPr>
        <w:widowControl w:val="0"/>
        <w:autoSpaceDE w:val="0"/>
        <w:autoSpaceDN w:val="0"/>
        <w:adjustRightInd w:val="0"/>
        <w:spacing w:line="580" w:lineRule="exact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b/>
          <w:color w:val="000000"/>
          <w:sz w:val="32"/>
          <w:szCs w:val="32"/>
        </w:rPr>
        <w:t>7.自定选题</w:t>
      </w:r>
    </w:p>
    <w:p>
      <w:pPr>
        <w:widowControl w:val="0"/>
        <w:spacing w:line="580" w:lineRule="exact"/>
        <w:jc w:val="both"/>
        <w:rPr>
          <w:rFonts w:ascii="仿宋_GB2312" w:eastAsia="仿宋_GB2312" w:cs="仿宋"/>
          <w:color w:val="000000"/>
          <w:sz w:val="32"/>
          <w:szCs w:val="32"/>
        </w:rPr>
      </w:pPr>
      <w:r>
        <w:rPr>
          <w:rFonts w:hint="eastAsia" w:ascii="仿宋_GB2312" w:eastAsia="仿宋_GB2312" w:cs="仿宋"/>
          <w:color w:val="000000"/>
          <w:sz w:val="32"/>
          <w:szCs w:val="32"/>
        </w:rPr>
        <w:t>除以上参考课题外，申请人可自由选定其它研究内容。</w:t>
      </w:r>
    </w:p>
    <w:p>
      <w:pPr>
        <w:widowControl w:val="0"/>
        <w:jc w:val="both"/>
        <w:rPr>
          <w:rFonts w:eastAsia="宋体"/>
          <w:kern w:val="2"/>
          <w:sz w:val="21"/>
          <w:szCs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方正舒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I4ODNlNjIwNzJjYWU4YjMxYjVjNWZjNTEwMmEzNzkifQ=="/>
  </w:docVars>
  <w:rsids>
    <w:rsidRoot w:val="7BFF70AC"/>
    <w:rsid w:val="7BFF7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cs="Times New Roman" w:eastAsiaTheme="minorEastAsia"/>
      <w:sz w:val="22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2024-04-18T02:47:00Z</dcterms:created>
  <dc:creator>szii</dc:creator>
  <cp:lastModifiedBy>szii</cp:lastModifiedBy>
  <dcterms:modified xsi:type="dcterms:W3CDTF">2024-04-18T02:49:32Z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6958C0FAD1E54529B24BF0EDBDB0E1B7_11</vt:lpwstr>
  </property>
</Properties>
</file>